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6</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4060" w:right="5320" w:hanging="348"/>
        <w:spacing w:after="0" w:line="527" w:lineRule="auto"/>
        <w:tabs>
          <w:tab w:leader="none" w:pos="4085" w:val="left"/>
        </w:tabs>
        <w:numPr>
          <w:ilvl w:val="0"/>
          <w:numId w:val="1"/>
        </w:numPr>
        <w:rPr>
          <w:rFonts w:ascii="Times New Roman" w:cs="Times New Roman" w:eastAsia="Times New Roman" w:hAnsi="Times New Roman"/>
          <w:sz w:val="21"/>
          <w:szCs w:val="21"/>
          <w:b w:val="1"/>
          <w:bCs w:val="1"/>
          <w:color w:val="0000FF"/>
        </w:rPr>
      </w:pPr>
      <w:r>
        <w:rPr>
          <w:rFonts w:ascii="Times New Roman" w:cs="Times New Roman" w:eastAsia="Times New Roman" w:hAnsi="Times New Roman"/>
          <w:sz w:val="21"/>
          <w:szCs w:val="21"/>
          <w:b w:val="1"/>
          <w:bCs w:val="1"/>
          <w:color w:val="0000FF"/>
        </w:rPr>
        <w:t xml:space="preserve">Group Holding Ltd. </w:t>
      </w:r>
      <w:r>
        <w:rPr>
          <w:rFonts w:ascii="Times New Roman" w:cs="Times New Roman" w:eastAsia="Times New Roman" w:hAnsi="Times New Roman"/>
          <w:sz w:val="21"/>
          <w:szCs w:val="21"/>
          <w:b w:val="1"/>
          <w:bCs w:val="1"/>
          <w:color w:val="000000"/>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-442595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Class A Ordinary Shares, each with no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Kenneth Schlesinger, Esq.</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Olshan Frome Wolosky LLP, 1325 Avenue of the Americas</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10019</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212-451-2300</w:t>
      </w:r>
    </w:p>
    <w:p>
      <w:pPr>
        <w:spacing w:after="0" w:line="200" w:lineRule="exact"/>
        <w:rPr>
          <w:sz w:val="24"/>
          <w:szCs w:val="24"/>
          <w:color w:val="auto"/>
        </w:rPr>
      </w:pPr>
    </w:p>
    <w:p>
      <w:pPr>
        <w:spacing w:after="0" w:line="24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Andrew J. Astore, Esq.</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Olshan Frome Wolosky LLP, 1325 Avenue of the Americas</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10019</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212-451-2300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06/10/2026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ectPr>
          <w:pgSz w:w="11900" w:h="16838" w:orient="portrait"/>
          <w:cols w:equalWidth="0" w:num="1">
            <w:col w:w="11240"/>
          </w:cols>
          <w:pgMar w:left="320" w:top="866" w:right="339" w:bottom="223" w:gutter="0" w:footer="0" w:header="0"/>
        </w:sectPr>
      </w:pP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b w:val="1"/>
          <w:bCs w:val="1"/>
          <w:color w:val="auto"/>
        </w:rPr>
        <w:t>CUSIP No.</w:t>
      </w:r>
    </w:p>
    <w:p>
      <w:pPr>
        <w:sectPr>
          <w:pgSz w:w="11900" w:h="16838" w:orient="portrait"/>
          <w:cols w:equalWidth="0" w:num="1">
            <w:col w:w="11240"/>
          </w:cols>
          <w:pgMar w:left="320" w:top="866" w:right="339" w:bottom="223" w:gutter="0" w:footer="0" w:header="0"/>
          <w:type w:val="continuous"/>
        </w:sectPr>
      </w:pPr>
    </w:p>
    <w:bookmarkStart w:id="1" w:name="page2"/>
    <w:bookmarkEnd w:id="1"/>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reporting person</w:t>
      </w:r>
    </w:p>
    <w:p>
      <w:pPr>
        <w:spacing w:after="0" w:line="233" w:lineRule="exact"/>
        <w:rPr>
          <w:rFonts w:ascii="Times New Roman" w:cs="Times New Roman" w:eastAsia="Times New Roman" w:hAnsi="Times New Roman"/>
          <w:sz w:val="22"/>
          <w:szCs w:val="22"/>
          <w:color w:val="auto"/>
        </w:rPr>
      </w:pPr>
    </w:p>
    <w:p>
      <w:pPr>
        <w:ind w:left="11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Hyperscale Data, Inc.</w:t>
      </w:r>
    </w:p>
    <w:p>
      <w:pPr>
        <w:spacing w:after="0" w:line="44" w:lineRule="exact"/>
        <w:rPr>
          <w:rFonts w:ascii="Times New Roman" w:cs="Times New Roman" w:eastAsia="Times New Roman" w:hAnsi="Times New Roman"/>
          <w:sz w:val="22"/>
          <w:szCs w:val="22"/>
          <w:color w:val="auto"/>
        </w:rPr>
      </w:pPr>
    </w:p>
    <w:p>
      <w:pPr>
        <w:ind w:left="11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5,228,000.00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5,228,000.00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5,228,000.00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Alpha Structured Finance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WC</w:t>
      </w:r>
    </w:p>
    <w:p>
      <w:pPr>
        <w:spacing w:after="0" w:line="20" w:lineRule="exact"/>
        <w:rPr>
          <w:sz w:val="20"/>
          <w:szCs w:val="20"/>
          <w:color w:val="auto"/>
        </w:rPr>
      </w:pPr>
    </w:p>
    <w:p>
      <w:pPr>
        <w:ind w:left="1120" w:hanging="1112"/>
        <w:spacing w:after="0"/>
        <w:tabs>
          <w:tab w:leader="none" w:pos="11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if disclosure of legal proceedings is required pursuant to Items 2(d) or 2(e)</w:t>
      </w:r>
    </w:p>
    <w:p>
      <w:pPr>
        <w:sectPr>
          <w:pgSz w:w="11900" w:h="16838" w:orient="portrait"/>
          <w:cols w:equalWidth="0" w:num="1">
            <w:col w:w="10099"/>
          </w:cols>
          <w:pgMar w:left="360" w:top="111" w:right="1440" w:bottom="0" w:gutter="0" w:footer="0" w:header="0"/>
          <w:type w:val="continuous"/>
        </w:sectPr>
      </w:pPr>
    </w:p>
    <w:bookmarkStart w:id="2" w:name="page3"/>
    <w:bookmarkEnd w:id="2"/>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-305435</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1,200,000.00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1,200,000.00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1,200,000.00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369"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Alpha Structured Finance GP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20" w:hanging="1112"/>
        <w:spacing w:after="0"/>
        <w:tabs>
          <w:tab w:leader="none" w:pos="1120" w:val="left"/>
        </w:tabs>
        <w:numPr>
          <w:ilvl w:val="0"/>
          <w:numId w:val="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AF</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5"/>
              </w:rPr>
              <w:t>Sole Voting Power</w:t>
            </w: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1940" w:type="dxa"/>
            <w:vAlign w:val="bottom"/>
          </w:tcPr>
          <w:p>
            <w:pPr>
              <w:jc w:val="right"/>
              <w:ind w:right="1672"/>
              <w:spacing w:after="0" w:line="243" w:lineRule="exact"/>
              <w:rPr>
                <w:sz w:val="20"/>
                <w:szCs w:val="20"/>
                <w:color w:val="auto"/>
              </w:rPr>
            </w:pPr>
            <w:r>
              <w:rPr>
                <w:rFonts w:ascii="Times New Roman" w:cs="Times New Roman" w:eastAsia="Times New Roman" w:hAnsi="Times New Roman"/>
                <w:sz w:val="22"/>
                <w:szCs w:val="22"/>
                <w:color w:val="auto"/>
              </w:rPr>
              <w:t>7</w:t>
            </w:r>
          </w:p>
        </w:tc>
      </w:tr>
      <w:tr>
        <w:trPr>
          <w:trHeight w:val="253"/>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0.00</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1040" w:type="dxa"/>
            <w:vAlign w:val="bottom"/>
          </w:tcPr>
          <w:p>
            <w:pPr>
              <w:spacing w:after="0" w:line="219" w:lineRule="exact"/>
              <w:rPr>
                <w:sz w:val="20"/>
                <w:szCs w:val="20"/>
                <w:color w:val="auto"/>
              </w:rPr>
            </w:pPr>
            <w:r>
              <w:rPr>
                <w:rFonts w:ascii="Times New Roman" w:cs="Times New Roman" w:eastAsia="Times New Roman" w:hAnsi="Times New Roman"/>
                <w:sz w:val="22"/>
                <w:szCs w:val="22"/>
                <w:color w:val="auto"/>
              </w:rPr>
              <w:t>Owned by</w:t>
            </w:r>
          </w:p>
        </w:tc>
        <w:tc>
          <w:tcPr>
            <w:tcW w:w="242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9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4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040" w:type="dxa"/>
            <w:vAlign w:val="bottom"/>
            <w:vMerge w:val="continue"/>
          </w:tcPr>
          <w:p>
            <w:pPr>
              <w:spacing w:after="0"/>
              <w:rPr>
                <w:sz w:val="12"/>
                <w:szCs w:val="12"/>
                <w:color w:val="auto"/>
              </w:rPr>
            </w:pPr>
          </w:p>
        </w:tc>
        <w:tc>
          <w:tcPr>
            <w:tcW w:w="2420" w:type="dxa"/>
            <w:vAlign w:val="bottom"/>
            <w:vMerge w:val="restart"/>
          </w:tcPr>
          <w:p>
            <w:pPr>
              <w:jc w:val="right"/>
              <w:ind w:right="2072"/>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9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4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040" w:type="dxa"/>
            <w:vAlign w:val="bottom"/>
            <w:vMerge w:val="continue"/>
          </w:tcPr>
          <w:p>
            <w:pPr>
              <w:spacing w:after="0"/>
              <w:rPr>
                <w:sz w:val="12"/>
                <w:szCs w:val="12"/>
                <w:color w:val="auto"/>
              </w:rPr>
            </w:pPr>
          </w:p>
        </w:tc>
        <w:tc>
          <w:tcPr>
            <w:tcW w:w="242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1,200,000.00</w:t>
            </w:r>
          </w:p>
        </w:tc>
        <w:tc>
          <w:tcPr>
            <w:tcW w:w="0" w:type="dxa"/>
            <w:vAlign w:val="bottom"/>
          </w:tcPr>
          <w:p>
            <w:pPr>
              <w:spacing w:after="0"/>
              <w:rPr>
                <w:sz w:val="1"/>
                <w:szCs w:val="1"/>
                <w:color w:val="auto"/>
              </w:rPr>
            </w:pPr>
          </w:p>
        </w:tc>
      </w:tr>
      <w:tr>
        <w:trPr>
          <w:trHeight w:val="13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040" w:type="dxa"/>
            <w:vAlign w:val="bottom"/>
            <w:vMerge w:val="continue"/>
          </w:tcPr>
          <w:p>
            <w:pPr>
              <w:spacing w:after="0"/>
              <w:rPr>
                <w:sz w:val="9"/>
                <w:szCs w:val="9"/>
                <w:color w:val="auto"/>
              </w:rPr>
            </w:pPr>
          </w:p>
        </w:tc>
        <w:tc>
          <w:tcPr>
            <w:tcW w:w="242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48"/>
        </w:trPr>
        <w:tc>
          <w:tcPr>
            <w:tcW w:w="10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040" w:type="dxa"/>
            <w:vAlign w:val="bottom"/>
            <w:vMerge w:val="continue"/>
          </w:tcPr>
          <w:p>
            <w:pPr>
              <w:spacing w:after="0"/>
              <w:rPr>
                <w:sz w:val="11"/>
                <w:szCs w:val="11"/>
                <w:color w:val="auto"/>
              </w:rPr>
            </w:pPr>
          </w:p>
        </w:tc>
        <w:tc>
          <w:tcPr>
            <w:tcW w:w="2420" w:type="dxa"/>
            <w:vAlign w:val="bottom"/>
            <w:vMerge w:val="restart"/>
          </w:tcPr>
          <w:p>
            <w:pPr>
              <w:jc w:val="right"/>
              <w:ind w:right="2072"/>
              <w:spacing w:after="0"/>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133"/>
        </w:trPr>
        <w:tc>
          <w:tcPr>
            <w:tcW w:w="1040" w:type="dxa"/>
            <w:vAlign w:val="bottom"/>
          </w:tcPr>
          <w:p>
            <w:pPr>
              <w:spacing w:after="0"/>
              <w:rPr>
                <w:sz w:val="11"/>
                <w:szCs w:val="11"/>
                <w:color w:val="auto"/>
              </w:rPr>
            </w:pPr>
          </w:p>
        </w:tc>
        <w:tc>
          <w:tcPr>
            <w:tcW w:w="2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0099"/>
          </w:cols>
          <w:pgMar w:left="360" w:top="369" w:right="1440" w:bottom="0" w:gutter="0" w:footer="0" w:header="0"/>
          <w:type w:val="continuous"/>
        </w:sectPr>
      </w:pPr>
    </w:p>
    <w:p>
      <w:pPr>
        <w:ind w:left="1440"/>
        <w:spacing w:after="0"/>
        <w:rPr>
          <w:sz w:val="20"/>
          <w:szCs w:val="20"/>
          <w:color w:val="auto"/>
        </w:rPr>
      </w:pPr>
      <w:r>
        <w:rPr>
          <w:rFonts w:ascii="Times New Roman" w:cs="Times New Roman" w:eastAsia="Times New Roman" w:hAnsi="Times New Roman"/>
          <w:sz w:val="21"/>
          <w:szCs w:val="21"/>
          <w:color w:val="auto"/>
        </w:rPr>
        <w:t>0.00</w:t>
      </w:r>
    </w:p>
    <w:p>
      <w:pPr>
        <w:sectPr>
          <w:pgSz w:w="11900" w:h="16838" w:orient="portrait"/>
          <w:cols w:equalWidth="0" w:num="1">
            <w:col w:w="10099"/>
          </w:cols>
          <w:pgMar w:left="360" w:top="369" w:right="1440" w:bottom="0" w:gutter="0" w:footer="0" w:header="0"/>
          <w:type w:val="continuous"/>
        </w:sectPr>
      </w:pPr>
    </w:p>
    <w:bookmarkStart w:id="3" w:name="page4"/>
    <w:bookmarkEnd w:id="3"/>
    <w:p>
      <w:pPr>
        <w:ind w:left="1160"/>
        <w:spacing w:after="0"/>
        <w:rPr>
          <w:sz w:val="20"/>
          <w:szCs w:val="20"/>
          <w:color w:val="auto"/>
        </w:rPr>
      </w:pPr>
      <w:r>
        <w:rPr>
          <w:rFonts w:ascii="Times New Roman" w:cs="Times New Roman" w:eastAsia="Times New Roman" w:hAnsi="Times New Roman"/>
          <w:sz w:val="22"/>
          <w:szCs w:val="22"/>
          <w:color w:val="auto"/>
        </w:rPr>
        <w:t>10 Shared Dispositive Power</w:t>
      </w:r>
    </w:p>
    <w:p>
      <w:pPr>
        <w:spacing w:after="0" w:line="234"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color w:val="auto"/>
        </w:rPr>
        <w:t>1,200,000.00</w:t>
      </w:r>
    </w:p>
    <w:p>
      <w:pPr>
        <w:spacing w:after="0" w:line="8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1,200,000.00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1.2 %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ACG Alpha Management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1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1,200,000.00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1,200,000.00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1,200,000.00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ectPr>
          <w:pgSz w:w="11900" w:h="16838" w:orient="portrait"/>
          <w:cols w:equalWidth="0" w:num="2">
            <w:col w:w="1060" w:space="60"/>
            <w:col w:w="8979"/>
          </w:cols>
          <w:pgMar w:left="360" w:top="112" w:right="1440" w:bottom="0" w:gutter="0" w:footer="0" w:header="0"/>
          <w:type w:val="continuous"/>
        </w:sectPr>
      </w:pPr>
    </w:p>
    <w:bookmarkStart w:id="4" w:name="page5"/>
    <w:bookmarkEnd w:id="4"/>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Ault Lending,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355"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2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CALIFORNIA</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4,028,000.00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4,028,000.00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4,028,000.00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355"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13D</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ectPr>
          <w:pgSz w:w="11900" w:h="16838" w:orient="portrait"/>
          <w:cols w:equalWidth="0" w:num="1">
            <w:col w:w="10099"/>
          </w:cols>
          <w:pgMar w:left="360" w:top="355" w:right="1440" w:bottom="0" w:gutter="0" w:footer="0" w:header="0"/>
          <w:type w:val="continuous"/>
        </w:sectPr>
      </w:pPr>
    </w:p>
    <w:p>
      <w:pPr>
        <w:spacing w:after="0" w:line="200" w:lineRule="exact"/>
        <w:rPr>
          <w:sz w:val="20"/>
          <w:szCs w:val="20"/>
          <w:color w:val="auto"/>
        </w:rPr>
      </w:pPr>
    </w:p>
    <w:p>
      <w:pPr>
        <w:spacing w:after="0" w:line="361" w:lineRule="exact"/>
        <w:rPr>
          <w:sz w:val="20"/>
          <w:szCs w:val="20"/>
          <w:color w:val="auto"/>
        </w:rPr>
      </w:pPr>
    </w:p>
    <w:p>
      <w:pPr>
        <w:ind w:left="1120" w:hanging="1112"/>
        <w:spacing w:after="0"/>
        <w:tabs>
          <w:tab w:leader="none" w:pos="1120"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Name of reporting person</w:t>
      </w:r>
    </w:p>
    <w:p>
      <w:pPr>
        <w:sectPr>
          <w:pgSz w:w="11900" w:h="16838" w:orient="portrait"/>
          <w:cols w:equalWidth="0" w:num="1">
            <w:col w:w="10099"/>
          </w:cols>
          <w:pgMar w:left="360" w:top="355" w:right="1440" w:bottom="0" w:gutter="0" w:footer="0" w:header="0"/>
          <w:type w:val="continuous"/>
        </w:sectPr>
      </w:pPr>
    </w:p>
    <w:bookmarkStart w:id="5" w:name="page6"/>
    <w:bookmarkEnd w:id="5"/>
    <w:p>
      <w:pPr>
        <w:spacing w:after="0" w:line="2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Ault Capital Group, Inc.</w:t>
      </w:r>
    </w:p>
    <w:p>
      <w:pPr>
        <w:spacing w:after="0" w:line="4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60"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NEVADA</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5,228,000.00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5,228,000.00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5,228,000.00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60"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AULT MILTON C III</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20" w:hanging="1112"/>
        <w:spacing w:after="0"/>
        <w:tabs>
          <w:tab w:leader="none" w:pos="1120" w:val="left"/>
        </w:tabs>
        <w:numPr>
          <w:ilvl w:val="0"/>
          <w:numId w:val="9"/>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AF, PF</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30" w:lineRule="exact"/>
        <w:rPr>
          <w:sz w:val="20"/>
          <w:szCs w:val="20"/>
          <w:color w:val="auto"/>
        </w:rPr>
      </w:pPr>
    </w:p>
    <w:p>
      <w:pPr>
        <w:ind w:left="1120" w:hanging="1112"/>
        <w:spacing w:after="0"/>
        <w:tabs>
          <w:tab w:leader="none" w:pos="11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 or place of organization</w:t>
      </w:r>
    </w:p>
    <w:p>
      <w:pPr>
        <w:sectPr>
          <w:pgSz w:w="11900" w:h="16860" w:orient="portrait"/>
          <w:cols w:equalWidth="0" w:num="1">
            <w:col w:w="10099"/>
          </w:cols>
          <w:pgMar w:left="360" w:top="111" w:right="1440" w:bottom="0" w:gutter="0" w:footer="0" w:header="0"/>
          <w:type w:val="continuous"/>
        </w:sectPr>
      </w:pPr>
    </w:p>
    <w:bookmarkStart w:id="6" w:name="page7"/>
    <w:bookmarkEnd w:id="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50,000.00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5,228,000.00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50,000.00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5,228,000.00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5,278,000.00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10040"/>
          </w:cols>
          <w:pgMar w:left="360" w:top="355" w:right="3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Class A Ordinary Shares, each with no par value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YY Group Holding Ltd.</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60 PAYA LEBAR ROAD #05-43 PAYA LEBAR SQ, SINGAPORE, SINGAPORE , SINGAPORE.</w:t>
      </w:r>
    </w:p>
    <w:p>
      <w:pPr>
        <w:spacing w:after="0" w:line="20" w:lineRule="exact"/>
        <w:rPr>
          <w:sz w:val="20"/>
          <w:szCs w:val="20"/>
          <w:color w:val="auto"/>
        </w:rPr>
      </w:pPr>
    </w:p>
    <w:p>
      <w:pPr>
        <w:jc w:val="right"/>
        <w:spacing w:after="0" w:line="246"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Amendment No. 6 ("Amendment No. 6") amends the statement on Schedule 13D originally filed by the</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Reporting Persons on April 15, 2026, as amended (the "Schedule 13D"), and relates to the Class A Ordinary Shares,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each with no par value, of YY Group Holding Ltd. Except as specifically provided herein, this Amendment No. 6 does not modify any of the information previously reported in the Schedule 13D. Unless otherwise indicated, each capitalized term used but not defined in this Amendment No. 6 shall have the meaning assigned to such term in the</w:t>
      </w:r>
    </w:p>
    <w:p>
      <w:pPr>
        <w:spacing w:after="0" w:line="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Schedule 13D.</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ind w:left="920" w:right="120"/>
        <w:spacing w:after="0" w:line="234" w:lineRule="auto"/>
        <w:rPr>
          <w:sz w:val="20"/>
          <w:szCs w:val="20"/>
          <w:color w:val="auto"/>
        </w:rPr>
      </w:pPr>
      <w:r>
        <w:rPr>
          <w:rFonts w:ascii="Times New Roman" w:cs="Times New Roman" w:eastAsia="Times New Roman" w:hAnsi="Times New Roman"/>
          <w:sz w:val="22"/>
          <w:szCs w:val="22"/>
          <w:color w:val="auto"/>
        </w:rPr>
        <w:t>Item 3 is hereby amended and restated as follows: The aggregate purchase price of the 1,200,000 Shares beneficially owned by Alpha Fund that were purchased directly by Alpha Fund with working capital (which may, at any given time, include margin loans made by brokerage firms in the ordinary course of business) in open market purchases is $184,287, including brokerage commissions. The aggregate purchase price of the 4,028,000 Shares beneficially owned by Ault Lending that were purchased directly by Ault Lending with working capital (which may, at any given time, include margin loans made by brokerage firms in the ordinary course of business) in open market purchases is $291,368, including brokerage commissions. The aggregate purchase price of the 50,000 Shares beneficially owned by Mr. Ault that were purchased directly by Mr. Ault with personal funds (which may, at any given time, include margin loans made by brokerage firms in the ordinary course of business) in open market purchases is $6,820, including brokerage commissions.</w:t>
      </w:r>
    </w:p>
    <w:p>
      <w:pPr>
        <w:spacing w:after="0" w:line="1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right="60" w:hanging="912"/>
        <w:spacing w:after="0" w:line="261" w:lineRule="auto"/>
        <w:tabs>
          <w:tab w:leader="none" w:pos="920" w:val="left"/>
        </w:tabs>
        <w:numPr>
          <w:ilvl w:val="0"/>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Item 5(a) is hereby amended and restated as follows: The aggregate percentage of Shares reported beneficially owned by the Reporting Person is based upon 96,051,645 Shares outstanding as of June 16, 2026, which is the total number of Shares outstanding reported by the Issuer in its Form 6-K filed with the Securities and Exchange Commission (the</w:t>
      </w:r>
    </w:p>
    <w:p>
      <w:pPr>
        <w:sectPr>
          <w:pgSz w:w="11900" w:h="16838" w:orient="portrait"/>
          <w:cols w:equalWidth="0" w:num="1">
            <w:col w:w="11160"/>
          </w:cols>
          <w:pgMar w:left="360" w:top="355" w:right="379" w:bottom="0" w:gutter="0" w:footer="0" w:header="0"/>
          <w:type w:val="continuous"/>
        </w:sectPr>
      </w:pPr>
    </w:p>
    <w:bookmarkStart w:id="7" w:name="page8"/>
    <w:bookmarkEnd w:id="7"/>
    <w:p>
      <w:pPr>
        <w:ind w:left="920" w:right="60"/>
        <w:spacing w:after="0" w:line="233" w:lineRule="auto"/>
        <w:rPr>
          <w:sz w:val="20"/>
          <w:szCs w:val="20"/>
          <w:color w:val="auto"/>
        </w:rPr>
      </w:pPr>
      <w:r>
        <w:rPr>
          <w:rFonts w:ascii="Times New Roman" w:cs="Times New Roman" w:eastAsia="Times New Roman" w:hAnsi="Times New Roman"/>
          <w:sz w:val="22"/>
          <w:szCs w:val="22"/>
          <w:color w:val="auto"/>
        </w:rPr>
        <w:t>"SEC") on June 16, 2026. As of the date hereof, Hyperscale, as the majority holder of the equity interests of Ault Capital, may be deemed to beneficially own the 5,228,000 Shares beneficially owned in the aggregate by Alpha Fund and Ault Lending. Percentage: 5.4% As of the date hereof, Alpha Fund beneficially owned 1,200,000 Shares. Percentage: 1.2% As of the date hereof, Alpha GP, as the general partner of Alpha Fund, may be deemed to beneficially own the 1,200,000 Shares beneficially owned by Alpha Fund. Percentage: 1.2% As of the date hereof, Alpha Management, as the investment manager of Alpha Fund, may be deemed to beneficially own the 1,200,000 Shares beneficially owned by Alpha Fund. Percentage: 1.2% As of the date hereof, Ault Lending beneficially owned 4,028,000 Shares. Percentage: 4.2% As of the date hereof, Ault Capital, as the majority holder of the equity interests of Alpha Management and Ault Lending, may be deemed to beneficially own the 5,228,000 Shares beneficially owned in the aggregate by Alpha Fund and Ault Lending. Percentage: 5.4% As of the date hereof, Mr. Ault beneficially owned 5,278,000 Shares, including 50,000 Shares beneficially owned directly, and the 5,228,000 Shares beneficially owned in the aggregate by Alpha Fund and Ault Lending that, as the CEO and Chief Investment Officer of Alpha Management, Executive Chairman of Ault Capital, and the Executive Chairman of Hyperscale, Mr. Ault may be deemed to beneficially own. Percentage: 5.5%</w:t>
      </w:r>
    </w:p>
    <w:p>
      <w:pPr>
        <w:spacing w:after="0" w:line="1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Item 5(b) is hereby amended and restated as follows: Hyperscale: 1. Sole power to vote or direct vote: 0 2. Shared</w:t>
      </w:r>
    </w:p>
    <w:p>
      <w:pPr>
        <w:spacing w:after="0" w:line="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power to vote or direct vote: 5,228,000 3. Sole power to dispose or direct the disposition: 0 4. Shared power to</w:t>
      </w:r>
    </w:p>
    <w:p>
      <w:pPr>
        <w:ind w:left="920"/>
        <w:spacing w:after="0" w:line="230" w:lineRule="auto"/>
        <w:rPr>
          <w:sz w:val="20"/>
          <w:szCs w:val="20"/>
          <w:color w:val="auto"/>
        </w:rPr>
      </w:pPr>
      <w:r>
        <w:rPr>
          <w:rFonts w:ascii="Times New Roman" w:cs="Times New Roman" w:eastAsia="Times New Roman" w:hAnsi="Times New Roman"/>
          <w:sz w:val="22"/>
          <w:szCs w:val="22"/>
          <w:color w:val="auto"/>
        </w:rPr>
        <w:t>dispose or direct the disposition: 5,228,000 Alpha Fund: 1. Sole power to vote or direct vote: 0 2. Shared power to</w:t>
      </w:r>
    </w:p>
    <w:p>
      <w:pPr>
        <w:ind w:left="920"/>
        <w:spacing w:after="0" w:line="231" w:lineRule="auto"/>
        <w:rPr>
          <w:sz w:val="20"/>
          <w:szCs w:val="20"/>
          <w:color w:val="auto"/>
        </w:rPr>
      </w:pPr>
      <w:r>
        <w:rPr>
          <w:rFonts w:ascii="Times New Roman" w:cs="Times New Roman" w:eastAsia="Times New Roman" w:hAnsi="Times New Roman"/>
          <w:sz w:val="22"/>
          <w:szCs w:val="22"/>
          <w:color w:val="auto"/>
        </w:rPr>
        <w:t>vote or direct vote: 1,200,000 3. Sole power to dispose or direct the disposition: 0 4. Shared power to dispose or</w:t>
      </w:r>
    </w:p>
    <w:p>
      <w:pPr>
        <w:ind w:left="920"/>
        <w:spacing w:after="0" w:line="230" w:lineRule="auto"/>
        <w:rPr>
          <w:sz w:val="20"/>
          <w:szCs w:val="20"/>
          <w:color w:val="auto"/>
        </w:rPr>
      </w:pPr>
      <w:r>
        <w:rPr>
          <w:rFonts w:ascii="Times New Roman" w:cs="Times New Roman" w:eastAsia="Times New Roman" w:hAnsi="Times New Roman"/>
          <w:sz w:val="22"/>
          <w:szCs w:val="22"/>
          <w:color w:val="auto"/>
        </w:rPr>
        <w:t>direct the disposition: 1,200,000 Alpha GP: 1. Sole power to vote or direct vote: 0 2. Shared power to vote or direct</w:t>
      </w:r>
    </w:p>
    <w:p>
      <w:pPr>
        <w:ind w:left="920"/>
        <w:spacing w:after="0" w:line="231" w:lineRule="auto"/>
        <w:rPr>
          <w:sz w:val="20"/>
          <w:szCs w:val="20"/>
          <w:color w:val="auto"/>
        </w:rPr>
      </w:pPr>
      <w:r>
        <w:rPr>
          <w:rFonts w:ascii="Times New Roman" w:cs="Times New Roman" w:eastAsia="Times New Roman" w:hAnsi="Times New Roman"/>
          <w:sz w:val="22"/>
          <w:szCs w:val="22"/>
          <w:color w:val="auto"/>
        </w:rPr>
        <w:t>vote: 1,200,000 3. Sole power to dispose or direct the disposition: 0 4. Shared power to dispose or direct the</w:t>
      </w:r>
    </w:p>
    <w:p>
      <w:pPr>
        <w:ind w:left="920" w:hanging="912"/>
        <w:spacing w:after="0" w:line="181" w:lineRule="auto"/>
        <w:tabs>
          <w:tab w:leader="none" w:pos="920" w:val="left"/>
        </w:tabs>
        <w:numPr>
          <w:ilvl w:val="0"/>
          <w:numId w:val="13"/>
        </w:numPr>
        <w:rPr>
          <w:rFonts w:ascii="Times New Roman" w:cs="Times New Roman" w:eastAsia="Times New Roman" w:hAnsi="Times New Roman"/>
          <w:sz w:val="28"/>
          <w:szCs w:val="28"/>
          <w:color w:val="auto"/>
          <w:vertAlign w:val="subscript"/>
        </w:rPr>
      </w:pPr>
      <w:r>
        <w:rPr>
          <w:rFonts w:ascii="Times New Roman" w:cs="Times New Roman" w:eastAsia="Times New Roman" w:hAnsi="Times New Roman"/>
          <w:sz w:val="16"/>
          <w:szCs w:val="16"/>
          <w:color w:val="auto"/>
        </w:rPr>
        <w:t>disposition: 1,200,000 Alpha Management: 1. Sole power to vote or direct vote: 0 2. Shared power to vote or direct</w:t>
      </w:r>
    </w:p>
    <w:p>
      <w:pPr>
        <w:ind w:left="920"/>
        <w:spacing w:after="0" w:line="230" w:lineRule="auto"/>
        <w:rPr>
          <w:rFonts w:ascii="Times New Roman" w:cs="Times New Roman" w:eastAsia="Times New Roman" w:hAnsi="Times New Roman"/>
          <w:sz w:val="28"/>
          <w:szCs w:val="28"/>
          <w:color w:val="auto"/>
          <w:vertAlign w:val="subscript"/>
        </w:rPr>
      </w:pPr>
      <w:r>
        <w:rPr>
          <w:rFonts w:ascii="Times New Roman" w:cs="Times New Roman" w:eastAsia="Times New Roman" w:hAnsi="Times New Roman"/>
          <w:sz w:val="22"/>
          <w:szCs w:val="22"/>
          <w:color w:val="auto"/>
        </w:rPr>
        <w:t>vote: 1,200,000 3. Sole power to dispose or direct the disposition: 0 4. Shared power to dispose or direct the</w:t>
      </w:r>
    </w:p>
    <w:p>
      <w:pPr>
        <w:ind w:left="920"/>
        <w:spacing w:after="0" w:line="230" w:lineRule="auto"/>
        <w:rPr>
          <w:rFonts w:ascii="Times New Roman" w:cs="Times New Roman" w:eastAsia="Times New Roman" w:hAnsi="Times New Roman"/>
          <w:sz w:val="28"/>
          <w:szCs w:val="28"/>
          <w:color w:val="auto"/>
          <w:vertAlign w:val="subscript"/>
        </w:rPr>
      </w:pPr>
      <w:r>
        <w:rPr>
          <w:rFonts w:ascii="Times New Roman" w:cs="Times New Roman" w:eastAsia="Times New Roman" w:hAnsi="Times New Roman"/>
          <w:sz w:val="22"/>
          <w:szCs w:val="22"/>
          <w:color w:val="auto"/>
        </w:rPr>
        <w:t>disposition: 1,200,000 Ault Lending: 1. Sole power to vote or direct vote: 0 2. Shared power to vote or direct vote:</w:t>
      </w:r>
    </w:p>
    <w:p>
      <w:pPr>
        <w:ind w:left="920"/>
        <w:spacing w:after="0" w:line="230" w:lineRule="auto"/>
        <w:rPr>
          <w:rFonts w:ascii="Times New Roman" w:cs="Times New Roman" w:eastAsia="Times New Roman" w:hAnsi="Times New Roman"/>
          <w:sz w:val="28"/>
          <w:szCs w:val="28"/>
          <w:color w:val="auto"/>
          <w:vertAlign w:val="subscript"/>
        </w:rPr>
      </w:pPr>
      <w:r>
        <w:rPr>
          <w:rFonts w:ascii="Times New Roman" w:cs="Times New Roman" w:eastAsia="Times New Roman" w:hAnsi="Times New Roman"/>
          <w:sz w:val="22"/>
          <w:szCs w:val="22"/>
          <w:color w:val="auto"/>
        </w:rPr>
        <w:t>4,028,000 3. Sole power to dispose or direct the disposition: 0 4. Shared power to dispose or direct the disposition:</w:t>
      </w:r>
    </w:p>
    <w:p>
      <w:pPr>
        <w:ind w:left="920"/>
        <w:spacing w:after="0" w:line="230" w:lineRule="auto"/>
        <w:rPr>
          <w:rFonts w:ascii="Times New Roman" w:cs="Times New Roman" w:eastAsia="Times New Roman" w:hAnsi="Times New Roman"/>
          <w:sz w:val="28"/>
          <w:szCs w:val="28"/>
          <w:color w:val="auto"/>
          <w:vertAlign w:val="subscript"/>
        </w:rPr>
      </w:pPr>
      <w:r>
        <w:rPr>
          <w:rFonts w:ascii="Times New Roman" w:cs="Times New Roman" w:eastAsia="Times New Roman" w:hAnsi="Times New Roman"/>
          <w:sz w:val="22"/>
          <w:szCs w:val="22"/>
          <w:color w:val="auto"/>
        </w:rPr>
        <w:t>4,028,000 Ault Capital: 1. Sole power to vote or direct vote: 0 2. Shared power to vote or direct vote: 5,228,000 3.</w:t>
      </w:r>
    </w:p>
    <w:p>
      <w:pPr>
        <w:ind w:left="920"/>
        <w:spacing w:after="0"/>
        <w:rPr>
          <w:rFonts w:ascii="Times New Roman" w:cs="Times New Roman" w:eastAsia="Times New Roman" w:hAnsi="Times New Roman"/>
          <w:sz w:val="28"/>
          <w:szCs w:val="28"/>
          <w:color w:val="auto"/>
          <w:vertAlign w:val="subscript"/>
        </w:rPr>
      </w:pPr>
      <w:r>
        <w:rPr>
          <w:rFonts w:ascii="Times New Roman" w:cs="Times New Roman" w:eastAsia="Times New Roman" w:hAnsi="Times New Roman"/>
          <w:sz w:val="21"/>
          <w:szCs w:val="21"/>
          <w:color w:val="auto"/>
        </w:rPr>
        <w:t>Sole power to dispose or direct the disposition: 0 4. Shared power to dispose or direct the disposition: 5,228,000 Mr.</w:t>
      </w:r>
    </w:p>
    <w:p>
      <w:pPr>
        <w:spacing w:after="0" w:line="1" w:lineRule="exact"/>
        <w:rPr>
          <w:rFonts w:ascii="Times New Roman" w:cs="Times New Roman" w:eastAsia="Times New Roman" w:hAnsi="Times New Roman"/>
          <w:sz w:val="28"/>
          <w:szCs w:val="28"/>
          <w:color w:val="auto"/>
          <w:vertAlign w:val="subscript"/>
        </w:rPr>
      </w:pPr>
    </w:p>
    <w:p>
      <w:pPr>
        <w:ind w:left="920"/>
        <w:spacing w:after="0" w:line="230" w:lineRule="auto"/>
        <w:rPr>
          <w:rFonts w:ascii="Times New Roman" w:cs="Times New Roman" w:eastAsia="Times New Roman" w:hAnsi="Times New Roman"/>
          <w:sz w:val="28"/>
          <w:szCs w:val="28"/>
          <w:color w:val="auto"/>
          <w:vertAlign w:val="subscript"/>
        </w:rPr>
      </w:pPr>
      <w:r>
        <w:rPr>
          <w:rFonts w:ascii="Times New Roman" w:cs="Times New Roman" w:eastAsia="Times New Roman" w:hAnsi="Times New Roman"/>
          <w:sz w:val="22"/>
          <w:szCs w:val="22"/>
          <w:color w:val="auto"/>
        </w:rPr>
        <w:t>Ault: 1. Sole power to vote or direct vote: 0 2. Shared power to vote or direct vote: 5,228,000 3. Sole power to</w:t>
      </w:r>
    </w:p>
    <w:p>
      <w:pPr>
        <w:ind w:left="920"/>
        <w:spacing w:after="0"/>
        <w:rPr>
          <w:rFonts w:ascii="Times New Roman" w:cs="Times New Roman" w:eastAsia="Times New Roman" w:hAnsi="Times New Roman"/>
          <w:sz w:val="28"/>
          <w:szCs w:val="28"/>
          <w:color w:val="auto"/>
          <w:vertAlign w:val="subscript"/>
        </w:rPr>
      </w:pPr>
      <w:r>
        <w:rPr>
          <w:rFonts w:ascii="Times New Roman" w:cs="Times New Roman" w:eastAsia="Times New Roman" w:hAnsi="Times New Roman"/>
          <w:sz w:val="22"/>
          <w:szCs w:val="22"/>
          <w:color w:val="auto"/>
        </w:rPr>
        <w:t>dispose or direct the disposition: 0 4. Shared power to dispose or direct the disposition: 5,228,000</w:t>
      </w:r>
    </w:p>
    <w:p>
      <w:pPr>
        <w:spacing w:after="0" w:line="20" w:lineRule="exact"/>
        <w:rPr>
          <w:rFonts w:ascii="Times New Roman" w:cs="Times New Roman" w:eastAsia="Times New Roman" w:hAnsi="Times New Roman"/>
          <w:sz w:val="28"/>
          <w:szCs w:val="28"/>
          <w:color w:val="auto"/>
          <w:vertAlign w:val="subscript"/>
        </w:rPr>
      </w:pPr>
    </w:p>
    <w:p>
      <w:pPr>
        <w:ind w:left="920" w:right="20" w:hanging="912"/>
        <w:spacing w:after="0" w:line="185" w:lineRule="auto"/>
        <w:tabs>
          <w:tab w:leader="none" w:pos="920" w:val="left"/>
        </w:tabs>
        <w:numPr>
          <w:ilvl w:val="0"/>
          <w:numId w:val="13"/>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Item 5(c) is hereby amended and restated as follows: None of the Reporting Persons have engaged in any transactions in the Shares since the filing of Amendment No. 5 except as set forth in Exhibit 1 hereto.</w:t>
      </w:r>
    </w:p>
    <w:p>
      <w:pPr>
        <w:spacing w:after="0" w:line="1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Exhibit 1 - Transactions in Securities of the Issuer Since the Filing of Amendment No. 5</w:t>
      </w:r>
    </w:p>
    <w:p>
      <w:pPr>
        <w:spacing w:after="0" w:line="3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22"/>
          <w:szCs w:val="22"/>
          <w:color w:val="auto"/>
        </w:rPr>
        <w:t>Hyperscale Data, Inc.</w:t>
      </w:r>
    </w:p>
    <w:p>
      <w:pPr>
        <w:spacing w:after="0" w:line="152" w:lineRule="exact"/>
        <w:rPr>
          <w:sz w:val="20"/>
          <w:szCs w:val="20"/>
          <w:color w:val="auto"/>
        </w:rPr>
      </w:pPr>
    </w:p>
    <w:p>
      <w:pPr>
        <w:ind w:left="4760"/>
        <w:spacing w:after="0"/>
        <w:tabs>
          <w:tab w:leader="none" w:pos="58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Milton C. Ault, III</w:t>
      </w:r>
    </w:p>
    <w:p>
      <w:pPr>
        <w:spacing w:after="0" w:line="44"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2"/>
          <w:szCs w:val="22"/>
          <w:color w:val="auto"/>
        </w:rPr>
        <w:t>Name/Title: Milton C. Ault, III, Executive Chairman</w:t>
      </w:r>
    </w:p>
    <w:p>
      <w:pPr>
        <w:spacing w:after="0" w:line="44" w:lineRule="exact"/>
        <w:rPr>
          <w:sz w:val="20"/>
          <w:szCs w:val="20"/>
          <w:color w:val="auto"/>
        </w:rPr>
      </w:pPr>
    </w:p>
    <w:p>
      <w:pPr>
        <w:ind w:left="4760"/>
        <w:spacing w:after="0"/>
        <w:tabs>
          <w:tab w:leader="none" w:pos="58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06/16/2026</w:t>
      </w:r>
    </w:p>
    <w:p>
      <w:pPr>
        <w:spacing w:after="0" w:line="152"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2"/>
          <w:szCs w:val="22"/>
          <w:color w:val="auto"/>
        </w:rPr>
        <w:t>Alpha Structured Finance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Milton C. Ault, III</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Milton C. Ault, III, CEO and Chief Investment</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Officer of its Investment Manager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06/16/2026</w:t>
      </w:r>
    </w:p>
    <w:p>
      <w:pPr>
        <w:spacing w:after="0" w:line="152"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Alpha Structured Finance GP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Milton C. Ault, III</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Milton C. Ault, III, CEO and Chief Investment</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Officer of its Managing Member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06/16/2026</w:t>
      </w:r>
    </w:p>
    <w:p>
      <w:pPr>
        <w:spacing w:after="0" w:line="152"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2"/>
          <w:szCs w:val="22"/>
          <w:color w:val="auto"/>
        </w:rPr>
        <w:t>ACG Alpha Management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Milton C. Ault, III</w:t>
      </w:r>
    </w:p>
    <w:p>
      <w:pPr>
        <w:spacing w:after="0" w:line="2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Milton</w:t>
      </w:r>
      <w:r>
        <w:rPr>
          <w:rFonts w:ascii="Times New Roman" w:cs="Times New Roman" w:eastAsia="Times New Roman" w:hAnsi="Times New Roman"/>
          <w:sz w:val="36"/>
          <w:szCs w:val="36"/>
          <w:color w:val="auto"/>
          <w:vertAlign w:val="subscript"/>
        </w:rPr>
        <w:t>Officer</w:t>
      </w:r>
      <w:r>
        <w:rPr>
          <w:rFonts w:ascii="Times New Roman" w:cs="Times New Roman" w:eastAsia="Times New Roman" w:hAnsi="Times New Roman"/>
          <w:sz w:val="19"/>
          <w:szCs w:val="19"/>
          <w:color w:val="auto"/>
        </w:rPr>
        <w:t xml:space="preserve"> C. Ault, III, CEO and Chief Investment</w:t>
      </w:r>
    </w:p>
    <w:p>
      <w:pPr>
        <w:spacing w:after="0" w:line="141"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06/16/2026</w:t>
      </w:r>
    </w:p>
    <w:p>
      <w:pPr>
        <w:spacing w:after="0" w:line="152"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22"/>
          <w:szCs w:val="22"/>
          <w:color w:val="auto"/>
        </w:rPr>
        <w:t>Ault Lending, LLC</w:t>
      </w:r>
    </w:p>
    <w:p>
      <w:pPr>
        <w:spacing w:after="0" w:line="152" w:lineRule="exact"/>
        <w:rPr>
          <w:sz w:val="20"/>
          <w:szCs w:val="20"/>
          <w:color w:val="auto"/>
        </w:rPr>
      </w:pPr>
    </w:p>
    <w:p>
      <w:pPr>
        <w:ind w:left="3580"/>
        <w:spacing w:after="0"/>
        <w:tabs>
          <w:tab w:leader="none" w:pos="46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David J. Katzoff</w:t>
      </w:r>
    </w:p>
    <w:p>
      <w:pPr>
        <w:sectPr>
          <w:pgSz w:w="11900" w:h="16838" w:orient="portrait"/>
          <w:cols w:equalWidth="0" w:num="1">
            <w:col w:w="11140"/>
          </w:cols>
          <w:pgMar w:left="360" w:top="111" w:right="399" w:bottom="0" w:gutter="0" w:footer="0" w:header="0"/>
        </w:sectPr>
      </w:pPr>
    </w:p>
    <w:bookmarkStart w:id="8" w:name="page9"/>
    <w:bookmarkEnd w:id="8"/>
    <w:p>
      <w:pPr>
        <w:ind w:left="2500"/>
        <w:spacing w:after="0"/>
        <w:rPr>
          <w:sz w:val="20"/>
          <w:szCs w:val="20"/>
          <w:color w:val="auto"/>
        </w:rPr>
      </w:pPr>
      <w:r>
        <w:rPr>
          <w:rFonts w:ascii="Times New Roman" w:cs="Times New Roman" w:eastAsia="Times New Roman" w:hAnsi="Times New Roman"/>
          <w:sz w:val="22"/>
          <w:szCs w:val="22"/>
          <w:color w:val="auto"/>
        </w:rPr>
        <w:t>Name/Title: David J. Katzoff, Manager</w:t>
      </w:r>
    </w:p>
    <w:p>
      <w:pPr>
        <w:spacing w:after="0" w:line="45" w:lineRule="exact"/>
        <w:rPr>
          <w:sz w:val="20"/>
          <w:szCs w:val="20"/>
          <w:color w:val="auto"/>
        </w:rPr>
      </w:pPr>
    </w:p>
    <w:p>
      <w:pPr>
        <w:ind w:left="2500"/>
        <w:spacing w:after="0"/>
        <w:tabs>
          <w:tab w:leader="none" w:pos="35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06/16/2026</w:t>
      </w:r>
    </w:p>
    <w:p>
      <w:pPr>
        <w:spacing w:after="0" w:line="152"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2"/>
          <w:szCs w:val="22"/>
          <w:color w:val="auto"/>
        </w:rPr>
        <w:t>Ault Capital Group, Inc.</w:t>
      </w:r>
    </w:p>
    <w:p>
      <w:pPr>
        <w:spacing w:after="0" w:line="152" w:lineRule="exact"/>
        <w:rPr>
          <w:sz w:val="20"/>
          <w:szCs w:val="20"/>
          <w:color w:val="auto"/>
        </w:rPr>
      </w:pPr>
    </w:p>
    <w:p>
      <w:pPr>
        <w:ind w:left="3680"/>
        <w:spacing w:after="0"/>
        <w:tabs>
          <w:tab w:leader="none" w:pos="4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Milton C. Ault, III</w:t>
      </w:r>
    </w:p>
    <w:p>
      <w:pPr>
        <w:spacing w:after="0" w:line="44"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21"/>
          <w:szCs w:val="21"/>
          <w:color w:val="auto"/>
        </w:rPr>
        <w:t>Name/Title: Milton C. Ault, III, Executive Chairman</w:t>
      </w:r>
    </w:p>
    <w:p>
      <w:pPr>
        <w:spacing w:after="0" w:line="56" w:lineRule="exact"/>
        <w:rPr>
          <w:sz w:val="20"/>
          <w:szCs w:val="20"/>
          <w:color w:val="auto"/>
        </w:rPr>
      </w:pPr>
    </w:p>
    <w:p>
      <w:pPr>
        <w:ind w:left="3680"/>
        <w:spacing w:after="0"/>
        <w:tabs>
          <w:tab w:leader="none" w:pos="4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06/16/2026</w:t>
      </w:r>
    </w:p>
    <w:p>
      <w:pPr>
        <w:spacing w:after="0" w:line="15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color w:val="auto"/>
        </w:rPr>
        <w:t>AULT MILTON C III</w:t>
      </w:r>
    </w:p>
    <w:p>
      <w:pPr>
        <w:spacing w:after="0" w:line="152" w:lineRule="exact"/>
        <w:rPr>
          <w:sz w:val="20"/>
          <w:szCs w:val="20"/>
          <w:color w:val="auto"/>
        </w:rPr>
      </w:pPr>
    </w:p>
    <w:p>
      <w:pPr>
        <w:ind w:left="2060"/>
        <w:spacing w:after="0"/>
        <w:tabs>
          <w:tab w:leader="none" w:pos="3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Milton C. Ault, III</w:t>
      </w:r>
    </w:p>
    <w:p>
      <w:pPr>
        <w:spacing w:after="0" w:line="44"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22"/>
          <w:szCs w:val="22"/>
          <w:color w:val="auto"/>
        </w:rPr>
        <w:t>Name/Title: Milton C. Ault, III</w:t>
      </w:r>
    </w:p>
    <w:p>
      <w:pPr>
        <w:spacing w:after="0" w:line="44" w:lineRule="exact"/>
        <w:rPr>
          <w:sz w:val="20"/>
          <w:szCs w:val="20"/>
          <w:color w:val="auto"/>
        </w:rPr>
      </w:pPr>
    </w:p>
    <w:p>
      <w:pPr>
        <w:ind w:left="2060"/>
        <w:spacing w:after="0"/>
        <w:tabs>
          <w:tab w:leader="none" w:pos="31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06/16/2026</w:t>
      </w:r>
    </w:p>
    <w:p>
      <w:pPr>
        <w:sectPr>
          <w:pgSz w:w="11900" w:h="16838" w:orient="portrait"/>
          <w:cols w:equalWidth="0" w:num="1">
            <w:col w:w="9019"/>
          </w:cols>
          <w:pgMar w:left="1440" w:top="111" w:right="1440"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color w:val="auto"/>
        </w:rPr>
        <w:t>Exhibit 1</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560" w:type="dxa"/>
            <w:vAlign w:val="bottom"/>
            <w:gridSpan w:val="14"/>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Transactions in the Securities of the Issuer Since the Filing of Amendment No. 5</w:t>
            </w: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434"/>
        </w:trPr>
        <w:tc>
          <w:tcPr>
            <w:tcW w:w="5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980" w:type="dxa"/>
            <w:vAlign w:val="bottom"/>
            <w:tcBorders>
              <w:top w:val="single" w:sz="8" w:color="auto"/>
            </w:tcBorders>
            <w:gridSpan w:val="8"/>
          </w:tcPr>
          <w:p>
            <w:pPr>
              <w:jc w:val="center"/>
              <w:ind w:right="660"/>
              <w:spacing w:after="0"/>
              <w:rPr>
                <w:sz w:val="20"/>
                <w:szCs w:val="20"/>
                <w:color w:val="auto"/>
              </w:rPr>
            </w:pPr>
            <w:r>
              <w:rPr>
                <w:rFonts w:ascii="Times New Roman" w:cs="Times New Roman" w:eastAsia="Times New Roman" w:hAnsi="Times New Roman"/>
                <w:sz w:val="18"/>
                <w:szCs w:val="18"/>
                <w:color w:val="auto"/>
                <w:w w:val="98"/>
              </w:rPr>
              <w:t>Amount of Securities</w:t>
            </w:r>
          </w:p>
        </w:tc>
        <w:tc>
          <w:tcPr>
            <w:tcW w:w="1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00" w:type="dxa"/>
            <w:vAlign w:val="bottom"/>
            <w:gridSpan w:val="2"/>
          </w:tcPr>
          <w:p>
            <w:pPr>
              <w:jc w:val="center"/>
              <w:ind w:right="920"/>
              <w:spacing w:after="0"/>
              <w:rPr>
                <w:sz w:val="20"/>
                <w:szCs w:val="20"/>
                <w:color w:val="auto"/>
              </w:rPr>
            </w:pPr>
            <w:r>
              <w:rPr>
                <w:rFonts w:ascii="Times New Roman" w:cs="Times New Roman" w:eastAsia="Times New Roman" w:hAnsi="Times New Roman"/>
                <w:sz w:val="18"/>
                <w:szCs w:val="18"/>
                <w:color w:val="auto"/>
              </w:rPr>
              <w:t>Date of</w:t>
            </w:r>
          </w:p>
        </w:tc>
      </w:tr>
      <w:tr>
        <w:trPr>
          <w:trHeight w:val="194"/>
        </w:trPr>
        <w:tc>
          <w:tcPr>
            <w:tcW w:w="500" w:type="dxa"/>
            <w:vAlign w:val="bottom"/>
          </w:tcPr>
          <w:p>
            <w:pPr>
              <w:spacing w:after="0"/>
              <w:rPr>
                <w:sz w:val="16"/>
                <w:szCs w:val="16"/>
                <w:color w:val="auto"/>
              </w:rPr>
            </w:pPr>
          </w:p>
        </w:tc>
        <w:tc>
          <w:tcPr>
            <w:tcW w:w="194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Nature of the Transaction</w:t>
            </w:r>
          </w:p>
        </w:tc>
        <w:tc>
          <w:tcPr>
            <w:tcW w:w="120" w:type="dxa"/>
            <w:vAlign w:val="bottom"/>
          </w:tcPr>
          <w:p>
            <w:pPr>
              <w:spacing w:after="0"/>
              <w:rPr>
                <w:sz w:val="16"/>
                <w:szCs w:val="16"/>
                <w:color w:val="auto"/>
              </w:rPr>
            </w:pPr>
          </w:p>
        </w:tc>
        <w:tc>
          <w:tcPr>
            <w:tcW w:w="3980" w:type="dxa"/>
            <w:vAlign w:val="bottom"/>
            <w:gridSpan w:val="8"/>
          </w:tcPr>
          <w:p>
            <w:pPr>
              <w:jc w:val="center"/>
              <w:ind w:right="660"/>
              <w:spacing w:after="0" w:line="194" w:lineRule="exact"/>
              <w:rPr>
                <w:sz w:val="20"/>
                <w:szCs w:val="20"/>
                <w:color w:val="auto"/>
              </w:rPr>
            </w:pPr>
            <w:r>
              <w:rPr>
                <w:rFonts w:ascii="Times New Roman" w:cs="Times New Roman" w:eastAsia="Times New Roman" w:hAnsi="Times New Roman"/>
                <w:sz w:val="18"/>
                <w:szCs w:val="18"/>
                <w:color w:val="auto"/>
                <w:w w:val="99"/>
              </w:rPr>
              <w:t>Purchased/(Sold)</w:t>
            </w:r>
          </w:p>
        </w:tc>
        <w:tc>
          <w:tcPr>
            <w:tcW w:w="2460" w:type="dxa"/>
            <w:vAlign w:val="bottom"/>
            <w:gridSpan w:val="5"/>
          </w:tcPr>
          <w:p>
            <w:pPr>
              <w:jc w:val="center"/>
              <w:ind w:right="1480"/>
              <w:spacing w:after="0" w:line="194" w:lineRule="exact"/>
              <w:rPr>
                <w:sz w:val="20"/>
                <w:szCs w:val="20"/>
                <w:color w:val="auto"/>
              </w:rPr>
            </w:pPr>
            <w:r>
              <w:rPr>
                <w:rFonts w:ascii="Times New Roman" w:cs="Times New Roman" w:eastAsia="Times New Roman" w:hAnsi="Times New Roman"/>
                <w:sz w:val="18"/>
                <w:szCs w:val="18"/>
                <w:color w:val="auto"/>
                <w:w w:val="99"/>
              </w:rPr>
              <w:t xml:space="preserve">Price </w:t>
            </w: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w:t>
            </w:r>
          </w:p>
        </w:tc>
        <w:tc>
          <w:tcPr>
            <w:tcW w:w="2240" w:type="dxa"/>
            <w:vAlign w:val="bottom"/>
            <w:gridSpan w:val="3"/>
          </w:tcPr>
          <w:p>
            <w:pPr>
              <w:jc w:val="center"/>
              <w:ind w:right="560"/>
              <w:spacing w:after="0" w:line="194" w:lineRule="exact"/>
              <w:rPr>
                <w:sz w:val="20"/>
                <w:szCs w:val="20"/>
                <w:color w:val="auto"/>
              </w:rPr>
            </w:pPr>
            <w:r>
              <w:rPr>
                <w:rFonts w:ascii="Times New Roman" w:cs="Times New Roman" w:eastAsia="Times New Roman" w:hAnsi="Times New Roman"/>
                <w:sz w:val="18"/>
                <w:szCs w:val="18"/>
                <w:color w:val="auto"/>
                <w:w w:val="98"/>
              </w:rPr>
              <w:t>Purchase/Sale</w:t>
            </w:r>
          </w:p>
        </w:tc>
      </w:tr>
      <w:tr>
        <w:trPr>
          <w:trHeight w:val="412"/>
        </w:trPr>
        <w:tc>
          <w:tcPr>
            <w:tcW w:w="500" w:type="dxa"/>
            <w:vAlign w:val="bottom"/>
          </w:tcPr>
          <w:p>
            <w:pPr>
              <w:spacing w:after="0"/>
              <w:rPr>
                <w:sz w:val="24"/>
                <w:szCs w:val="24"/>
                <w:color w:val="auto"/>
              </w:rPr>
            </w:pPr>
          </w:p>
        </w:tc>
        <w:tc>
          <w:tcPr>
            <w:tcW w:w="18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700" w:type="dxa"/>
            <w:vAlign w:val="bottom"/>
            <w:gridSpan w:val="5"/>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Ault Lending, LLC</w:t>
            </w:r>
          </w:p>
        </w:tc>
        <w:tc>
          <w:tcPr>
            <w:tcW w:w="18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900" w:type="dxa"/>
            <w:vAlign w:val="bottom"/>
          </w:tcPr>
          <w:p>
            <w:pPr>
              <w:spacing w:after="0"/>
              <w:rPr>
                <w:sz w:val="24"/>
                <w:szCs w:val="24"/>
                <w:color w:val="auto"/>
              </w:rPr>
            </w:pPr>
          </w:p>
        </w:tc>
      </w:tr>
      <w:tr>
        <w:trPr>
          <w:trHeight w:val="237"/>
        </w:trPr>
        <w:tc>
          <w:tcPr>
            <w:tcW w:w="5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16"/>
        </w:trPr>
        <w:tc>
          <w:tcPr>
            <w:tcW w:w="24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400" w:type="dxa"/>
            <w:vAlign w:val="bottom"/>
            <w:gridSpan w:val="4"/>
            <w:shd w:val="clear" w:color="auto" w:fill="CCEEFF"/>
          </w:tcPr>
          <w:p>
            <w:pPr>
              <w:jc w:val="center"/>
              <w:ind w:left="1070"/>
              <w:spacing w:after="0"/>
              <w:rPr>
                <w:sz w:val="20"/>
                <w:szCs w:val="20"/>
                <w:color w:val="auto"/>
              </w:rPr>
            </w:pPr>
            <w:r>
              <w:rPr>
                <w:rFonts w:ascii="Times New Roman" w:cs="Times New Roman" w:eastAsia="Times New Roman" w:hAnsi="Times New Roman"/>
                <w:sz w:val="18"/>
                <w:szCs w:val="18"/>
                <w:color w:val="auto"/>
                <w:w w:val="99"/>
              </w:rPr>
              <w:t>1,011,200</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rPr>
              <w:t>0.1441</w:t>
            </w:r>
          </w:p>
        </w:tc>
        <w:tc>
          <w:tcPr>
            <w:tcW w:w="1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w w:val="99"/>
              </w:rPr>
              <w:t>06/10/2026</w:t>
            </w:r>
          </w:p>
        </w:tc>
        <w:tc>
          <w:tcPr>
            <w:tcW w:w="900" w:type="dxa"/>
            <w:vAlign w:val="bottom"/>
            <w:shd w:val="clear" w:color="auto" w:fill="CCEEFF"/>
          </w:tcPr>
          <w:p>
            <w:pPr>
              <w:spacing w:after="0"/>
              <w:rPr>
                <w:sz w:val="18"/>
                <w:szCs w:val="18"/>
                <w:color w:val="auto"/>
              </w:rPr>
            </w:pPr>
          </w:p>
        </w:tc>
      </w:tr>
      <w:tr>
        <w:trPr>
          <w:trHeight w:val="216"/>
        </w:trPr>
        <w:tc>
          <w:tcPr>
            <w:tcW w:w="24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040" w:type="dxa"/>
            <w:vAlign w:val="bottom"/>
            <w:gridSpan w:val="3"/>
          </w:tcPr>
          <w:p>
            <w:pPr>
              <w:jc w:val="center"/>
              <w:ind w:left="1430"/>
              <w:spacing w:after="0"/>
              <w:rPr>
                <w:sz w:val="20"/>
                <w:szCs w:val="20"/>
                <w:color w:val="auto"/>
              </w:rPr>
            </w:pPr>
            <w:r>
              <w:rPr>
                <w:rFonts w:ascii="Times New Roman" w:cs="Times New Roman" w:eastAsia="Times New Roman" w:hAnsi="Times New Roman"/>
                <w:sz w:val="18"/>
                <w:szCs w:val="18"/>
                <w:color w:val="auto"/>
                <w:w w:val="98"/>
              </w:rPr>
              <w:t>5,000</w:t>
            </w: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3"/>
          </w:tcPr>
          <w:p>
            <w:pPr>
              <w:jc w:val="center"/>
              <w:ind w:left="90"/>
              <w:spacing w:after="0"/>
              <w:rPr>
                <w:sz w:val="20"/>
                <w:szCs w:val="20"/>
                <w:color w:val="auto"/>
              </w:rPr>
            </w:pPr>
            <w:r>
              <w:rPr>
                <w:rFonts w:ascii="Times New Roman" w:cs="Times New Roman" w:eastAsia="Times New Roman" w:hAnsi="Times New Roman"/>
                <w:sz w:val="18"/>
                <w:szCs w:val="18"/>
                <w:color w:val="auto"/>
              </w:rPr>
              <w:t>0.1206</w:t>
            </w: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color w:val="auto"/>
                <w:w w:val="99"/>
              </w:rPr>
              <w:t>06/11/2026</w:t>
            </w:r>
          </w:p>
        </w:tc>
        <w:tc>
          <w:tcPr>
            <w:tcW w:w="900" w:type="dxa"/>
            <w:vAlign w:val="bottom"/>
          </w:tcPr>
          <w:p>
            <w:pPr>
              <w:spacing w:after="0"/>
              <w:rPr>
                <w:sz w:val="18"/>
                <w:szCs w:val="18"/>
                <w:color w:val="auto"/>
              </w:rPr>
            </w:pPr>
          </w:p>
        </w:tc>
      </w:tr>
      <w:tr>
        <w:trPr>
          <w:trHeight w:val="216"/>
        </w:trPr>
        <w:tc>
          <w:tcPr>
            <w:tcW w:w="24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400" w:type="dxa"/>
            <w:vAlign w:val="bottom"/>
            <w:gridSpan w:val="4"/>
            <w:shd w:val="clear" w:color="auto" w:fill="CCEEFF"/>
          </w:tcPr>
          <w:p>
            <w:pPr>
              <w:jc w:val="center"/>
              <w:ind w:left="1070"/>
              <w:spacing w:after="0"/>
              <w:rPr>
                <w:sz w:val="20"/>
                <w:szCs w:val="20"/>
                <w:color w:val="auto"/>
              </w:rPr>
            </w:pPr>
            <w:r>
              <w:rPr>
                <w:rFonts w:ascii="Times New Roman" w:cs="Times New Roman" w:eastAsia="Times New Roman" w:hAnsi="Times New Roman"/>
                <w:sz w:val="18"/>
                <w:szCs w:val="18"/>
                <w:color w:val="auto"/>
                <w:w w:val="99"/>
              </w:rPr>
              <w:t>1,372,268</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rPr>
              <w:t>0.1140</w:t>
            </w:r>
          </w:p>
        </w:tc>
        <w:tc>
          <w:tcPr>
            <w:tcW w:w="1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w w:val="99"/>
              </w:rPr>
              <w:t>06/12/2026</w:t>
            </w:r>
          </w:p>
        </w:tc>
        <w:tc>
          <w:tcPr>
            <w:tcW w:w="900" w:type="dxa"/>
            <w:vAlign w:val="bottom"/>
            <w:shd w:val="clear" w:color="auto" w:fill="CCEEFF"/>
          </w:tcPr>
          <w:p>
            <w:pPr>
              <w:spacing w:after="0"/>
              <w:rPr>
                <w:sz w:val="18"/>
                <w:szCs w:val="18"/>
                <w:color w:val="auto"/>
              </w:rPr>
            </w:pPr>
          </w:p>
        </w:tc>
      </w:tr>
      <w:tr>
        <w:trPr>
          <w:trHeight w:val="392"/>
        </w:trPr>
        <w:tc>
          <w:tcPr>
            <w:tcW w:w="5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400" w:type="dxa"/>
            <w:vAlign w:val="bottom"/>
            <w:gridSpan w:val="12"/>
          </w:tcPr>
          <w:p>
            <w:pPr>
              <w:jc w:val="center"/>
              <w:ind w:right="1360"/>
              <w:spacing w:after="0"/>
              <w:rPr>
                <w:sz w:val="20"/>
                <w:szCs w:val="20"/>
                <w:color w:val="auto"/>
              </w:rPr>
            </w:pPr>
            <w:r>
              <w:rPr>
                <w:rFonts w:ascii="Times New Roman" w:cs="Times New Roman" w:eastAsia="Times New Roman" w:hAnsi="Times New Roman"/>
                <w:sz w:val="18"/>
                <w:szCs w:val="18"/>
                <w:b w:val="1"/>
                <w:bCs w:val="1"/>
                <w:color w:val="auto"/>
                <w:w w:val="99"/>
              </w:rPr>
              <w:t>Alpha Structured Finance LP</w:t>
            </w: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36"/>
        </w:trPr>
        <w:tc>
          <w:tcPr>
            <w:tcW w:w="5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5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16"/>
        </w:trPr>
        <w:tc>
          <w:tcPr>
            <w:tcW w:w="24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400" w:type="dxa"/>
            <w:vAlign w:val="bottom"/>
            <w:gridSpan w:val="4"/>
            <w:shd w:val="clear" w:color="auto" w:fill="CCEEFF"/>
          </w:tcPr>
          <w:p>
            <w:pPr>
              <w:jc w:val="center"/>
              <w:ind w:left="1070"/>
              <w:spacing w:after="0"/>
              <w:rPr>
                <w:sz w:val="20"/>
                <w:szCs w:val="20"/>
                <w:color w:val="auto"/>
              </w:rPr>
            </w:pPr>
            <w:r>
              <w:rPr>
                <w:rFonts w:ascii="Times New Roman" w:cs="Times New Roman" w:eastAsia="Times New Roman" w:hAnsi="Times New Roman"/>
                <w:sz w:val="18"/>
                <w:szCs w:val="18"/>
                <w:color w:val="auto"/>
                <w:w w:val="99"/>
              </w:rPr>
              <w:t>1,020,000</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rPr>
              <w:t>0.1141</w:t>
            </w:r>
          </w:p>
        </w:tc>
        <w:tc>
          <w:tcPr>
            <w:tcW w:w="1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w w:val="99"/>
              </w:rPr>
              <w:t>06/12/2026</w:t>
            </w:r>
          </w:p>
        </w:tc>
        <w:tc>
          <w:tcPr>
            <w:tcW w:w="900" w:type="dxa"/>
            <w:vAlign w:val="bottom"/>
            <w:shd w:val="clear" w:color="auto" w:fill="CCEEFF"/>
          </w:tcPr>
          <w:p>
            <w:pPr>
              <w:spacing w:after="0"/>
              <w:rPr>
                <w:sz w:val="18"/>
                <w:szCs w:val="18"/>
                <w:color w:val="auto"/>
              </w:rPr>
            </w:pPr>
          </w:p>
        </w:tc>
      </w:tr>
      <w:tr>
        <w:trPr>
          <w:trHeight w:val="392"/>
        </w:trPr>
        <w:tc>
          <w:tcPr>
            <w:tcW w:w="5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60" w:type="dxa"/>
            <w:vAlign w:val="bottom"/>
            <w:gridSpan w:val="4"/>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Milton C. Ault, III</w:t>
            </w: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37"/>
        </w:trPr>
        <w:tc>
          <w:tcPr>
            <w:tcW w:w="5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2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16"/>
        </w:trPr>
        <w:tc>
          <w:tcPr>
            <w:tcW w:w="24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040" w:type="dxa"/>
            <w:vAlign w:val="bottom"/>
            <w:gridSpan w:val="3"/>
            <w:shd w:val="clear" w:color="auto" w:fill="CCEEFF"/>
          </w:tcPr>
          <w:p>
            <w:pPr>
              <w:jc w:val="center"/>
              <w:ind w:left="1430"/>
              <w:spacing w:after="0"/>
              <w:rPr>
                <w:sz w:val="20"/>
                <w:szCs w:val="20"/>
                <w:color w:val="auto"/>
              </w:rPr>
            </w:pPr>
            <w:r>
              <w:rPr>
                <w:rFonts w:ascii="Times New Roman" w:cs="Times New Roman" w:eastAsia="Times New Roman" w:hAnsi="Times New Roman"/>
                <w:sz w:val="18"/>
                <w:szCs w:val="18"/>
                <w:color w:val="auto"/>
                <w:w w:val="96"/>
              </w:rPr>
              <w:t>75,000</w:t>
            </w: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rPr>
              <w:t>0.1311</w:t>
            </w:r>
          </w:p>
        </w:tc>
        <w:tc>
          <w:tcPr>
            <w:tcW w:w="1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w w:val="99"/>
              </w:rPr>
              <w:t>06/10/2026</w:t>
            </w:r>
          </w:p>
        </w:tc>
        <w:tc>
          <w:tcPr>
            <w:tcW w:w="900" w:type="dxa"/>
            <w:vAlign w:val="bottom"/>
            <w:shd w:val="clear" w:color="auto" w:fill="CCEEFF"/>
          </w:tcPr>
          <w:p>
            <w:pPr>
              <w:spacing w:after="0"/>
              <w:rPr>
                <w:sz w:val="18"/>
                <w:szCs w:val="18"/>
                <w:color w:val="auto"/>
              </w:rPr>
            </w:pPr>
          </w:p>
        </w:tc>
      </w:tr>
      <w:tr>
        <w:trPr>
          <w:trHeight w:val="216"/>
        </w:trPr>
        <w:tc>
          <w:tcPr>
            <w:tcW w:w="24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2400" w:type="dxa"/>
            <w:vAlign w:val="bottom"/>
            <w:gridSpan w:val="4"/>
          </w:tcPr>
          <w:p>
            <w:pPr>
              <w:jc w:val="center"/>
              <w:ind w:left="1070"/>
              <w:spacing w:after="0"/>
              <w:rPr>
                <w:sz w:val="20"/>
                <w:szCs w:val="20"/>
                <w:color w:val="auto"/>
              </w:rPr>
            </w:pPr>
            <w:r>
              <w:rPr>
                <w:rFonts w:ascii="Times New Roman" w:cs="Times New Roman" w:eastAsia="Times New Roman" w:hAnsi="Times New Roman"/>
                <w:sz w:val="18"/>
                <w:szCs w:val="18"/>
                <w:color w:val="auto"/>
                <w:w w:val="97"/>
              </w:rPr>
              <w:t>(75,000)</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3"/>
          </w:tcPr>
          <w:p>
            <w:pPr>
              <w:jc w:val="center"/>
              <w:ind w:left="90"/>
              <w:spacing w:after="0"/>
              <w:rPr>
                <w:sz w:val="20"/>
                <w:szCs w:val="20"/>
                <w:color w:val="auto"/>
              </w:rPr>
            </w:pPr>
            <w:r>
              <w:rPr>
                <w:rFonts w:ascii="Times New Roman" w:cs="Times New Roman" w:eastAsia="Times New Roman" w:hAnsi="Times New Roman"/>
                <w:sz w:val="18"/>
                <w:szCs w:val="18"/>
                <w:color w:val="auto"/>
              </w:rPr>
              <w:t>0.1570</w:t>
            </w: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color w:val="auto"/>
                <w:w w:val="99"/>
              </w:rPr>
              <w:t>06/10/2026</w:t>
            </w:r>
          </w:p>
        </w:tc>
        <w:tc>
          <w:tcPr>
            <w:tcW w:w="900" w:type="dxa"/>
            <w:vAlign w:val="bottom"/>
          </w:tcPr>
          <w:p>
            <w:pPr>
              <w:spacing w:after="0"/>
              <w:rPr>
                <w:sz w:val="18"/>
                <w:szCs w:val="18"/>
                <w:color w:val="auto"/>
              </w:rPr>
            </w:pPr>
          </w:p>
        </w:tc>
      </w:tr>
      <w:tr>
        <w:trPr>
          <w:trHeight w:val="216"/>
        </w:trPr>
        <w:tc>
          <w:tcPr>
            <w:tcW w:w="24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040" w:type="dxa"/>
            <w:vAlign w:val="bottom"/>
            <w:gridSpan w:val="3"/>
            <w:shd w:val="clear" w:color="auto" w:fill="CCEEFF"/>
          </w:tcPr>
          <w:p>
            <w:pPr>
              <w:jc w:val="center"/>
              <w:ind w:left="1430"/>
              <w:spacing w:after="0"/>
              <w:rPr>
                <w:sz w:val="20"/>
                <w:szCs w:val="20"/>
                <w:color w:val="auto"/>
              </w:rPr>
            </w:pPr>
            <w:r>
              <w:rPr>
                <w:rFonts w:ascii="Times New Roman" w:cs="Times New Roman" w:eastAsia="Times New Roman" w:hAnsi="Times New Roman"/>
                <w:sz w:val="18"/>
                <w:szCs w:val="18"/>
                <w:color w:val="auto"/>
                <w:w w:val="96"/>
              </w:rPr>
              <w:t>50,000</w:t>
            </w: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rPr>
              <w:t>0.1364</w:t>
            </w:r>
          </w:p>
        </w:tc>
        <w:tc>
          <w:tcPr>
            <w:tcW w:w="1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w w:val="99"/>
              </w:rPr>
              <w:t>06/11/2026</w:t>
            </w:r>
          </w:p>
        </w:tc>
        <w:tc>
          <w:tcPr>
            <w:tcW w:w="900" w:type="dxa"/>
            <w:vAlign w:val="bottom"/>
            <w:shd w:val="clear" w:color="auto" w:fill="CCEEFF"/>
          </w:tcPr>
          <w:p>
            <w:pPr>
              <w:spacing w:after="0"/>
              <w:rPr>
                <w:sz w:val="18"/>
                <w:szCs w:val="18"/>
                <w:color w:val="auto"/>
              </w:rPr>
            </w:pP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upperLetter"/>
      <w:start w:val="51"/>
    </w:lvl>
  </w:abstractNum>
  <w:abstractNum w:abstractNumId="1">
    <w:nsid w:val="79E2A9E3"/>
    <w:multiLevelType w:val="hybridMultilevel"/>
    <w:lvl w:ilvl="0">
      <w:lvlJc w:val="left"/>
      <w:lvlText w:val="1"/>
      <w:numFmt w:val="bullet"/>
      <w:start w:val="1"/>
    </w:lvl>
  </w:abstractNum>
  <w:abstractNum w:abstractNumId="2">
    <w:nsid w:val="7545E146"/>
    <w:multiLevelType w:val="hybridMultilevel"/>
    <w:lvl w:ilvl="0">
      <w:lvlJc w:val="left"/>
      <w:lvlText w:val="2"/>
      <w:numFmt w:val="bullet"/>
      <w:start w:val="1"/>
    </w:lvl>
  </w:abstractNum>
  <w:abstractNum w:abstractNumId="3">
    <w:nsid w:val="515F007C"/>
    <w:multiLevelType w:val="hybridMultilevel"/>
    <w:lvl w:ilvl="0">
      <w:lvlJc w:val="left"/>
      <w:lvlText w:val="3"/>
      <w:numFmt w:val="bullet"/>
      <w:start w:val="1"/>
    </w:lvl>
  </w:abstractNum>
  <w:abstractNum w:abstractNumId="4">
    <w:nsid w:val="5BD062C2"/>
    <w:multiLevelType w:val="hybridMultilevel"/>
    <w:lvl w:ilvl="0">
      <w:lvlJc w:val="left"/>
      <w:lvlText w:val="5"/>
      <w:numFmt w:val="bullet"/>
      <w:start w:val="1"/>
    </w:lvl>
  </w:abstractNum>
  <w:abstractNum w:abstractNumId="5">
    <w:nsid w:val="12200854"/>
    <w:multiLevelType w:val="hybridMultilevel"/>
    <w:lvl w:ilvl="0">
      <w:lvlJc w:val="left"/>
      <w:lvlText w:val="2"/>
      <w:numFmt w:val="bullet"/>
      <w:start w:val="1"/>
    </w:lvl>
  </w:abstractNum>
  <w:abstractNum w:abstractNumId="6">
    <w:nsid w:val="4DB127F8"/>
    <w:multiLevelType w:val="hybridMultilevel"/>
    <w:lvl w:ilvl="0">
      <w:lvlJc w:val="left"/>
      <w:lvlText w:val="3"/>
      <w:numFmt w:val="bullet"/>
      <w:start w:val="1"/>
    </w:lvl>
  </w:abstractNum>
  <w:abstractNum w:abstractNumId="7">
    <w:nsid w:val="216231B"/>
    <w:multiLevelType w:val="hybridMultilevel"/>
    <w:lvl w:ilvl="0">
      <w:lvlJc w:val="left"/>
      <w:lvlText w:val="1"/>
      <w:numFmt w:val="bullet"/>
      <w:start w:val="1"/>
    </w:lvl>
  </w:abstractNum>
  <w:abstractNum w:abstractNumId="8">
    <w:nsid w:val="1F16E9E8"/>
    <w:multiLevelType w:val="hybridMultilevel"/>
    <w:lvl w:ilvl="0">
      <w:lvlJc w:val="left"/>
      <w:lvlText w:val="2"/>
      <w:numFmt w:val="bullet"/>
      <w:start w:val="1"/>
    </w:lvl>
  </w:abstractNum>
  <w:abstractNum w:abstractNumId="9">
    <w:nsid w:val="1190CDE7"/>
    <w:multiLevelType w:val="hybridMultilevel"/>
    <w:lvl w:ilvl="0">
      <w:lvlJc w:val="left"/>
      <w:lvlText w:val="3"/>
      <w:numFmt w:val="bullet"/>
      <w:start w:val="1"/>
    </w:lvl>
  </w:abstractNum>
  <w:abstractNum w:abstractNumId="10">
    <w:nsid w:val="66EF438D"/>
    <w:multiLevelType w:val="hybridMultilevel"/>
    <w:lvl w:ilvl="0">
      <w:lvlJc w:val="left"/>
      <w:lvlText w:val="6"/>
      <w:numFmt w:val="bullet"/>
      <w:start w:val="1"/>
    </w:lvl>
  </w:abstractNum>
  <w:abstractNum w:abstractNumId="11">
    <w:nsid w:val="140E0F76"/>
    <w:multiLevelType w:val="hybridMultilevel"/>
    <w:lvl w:ilvl="0">
      <w:lvlJc w:val="left"/>
      <w:lvlText w:val="(%1)"/>
      <w:numFmt w:val="lowerLetter"/>
      <w:start w:val="1"/>
    </w:lvl>
  </w:abstractNum>
  <w:abstractNum w:abstractNumId="12">
    <w:nsid w:val="3352255A"/>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2026-06-16T16:57:52Z</dcterms:created>
  <dcterms:modified xsi:type="dcterms:W3CDTF">2026-06-16T16:57:52Z</dcterms:modified>
</cp:coreProperties>
</file>